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9F7DFA">
      <w:pPr>
        <w:jc w:val="both"/>
        <w:rPr>
          <w:rFonts w:hint="eastAsia" w:ascii="宋体" w:hAnsi="宋体" w:eastAsia="宋体" w:cs="宋体"/>
          <w:b/>
          <w:bCs/>
          <w:spacing w:val="-11"/>
          <w:kern w:val="2"/>
          <w:sz w:val="44"/>
          <w:szCs w:val="44"/>
          <w:lang w:val="en-US" w:eastAsia="zh-CN" w:bidi="ar"/>
        </w:rPr>
      </w:pPr>
      <w:bookmarkStart w:id="0" w:name="_Toc22628"/>
      <w:r>
        <w:rPr>
          <w:rFonts w:hint="eastAsia" w:ascii="宋体" w:hAnsi="宋体" w:eastAsia="宋体" w:cs="宋体"/>
          <w:b/>
          <w:bCs/>
          <w:spacing w:val="-11"/>
          <w:kern w:val="2"/>
          <w:sz w:val="44"/>
          <w:szCs w:val="44"/>
          <w:lang w:val="en-US" w:eastAsia="zh-CN" w:bidi="ar"/>
        </w:rPr>
        <w:t>佛山市南海区建筑业协会招标代理行业自律公约</w:t>
      </w:r>
    </w:p>
    <w:p w14:paraId="14337962">
      <w:pPr>
        <w:jc w:val="both"/>
        <w:rPr>
          <w:rFonts w:hint="eastAsia" w:ascii="宋体" w:hAnsi="宋体" w:eastAsia="宋体" w:cs="宋体"/>
          <w:b/>
          <w:bCs/>
          <w:kern w:val="2"/>
          <w:sz w:val="44"/>
          <w:szCs w:val="44"/>
          <w:lang w:val="en-US" w:eastAsia="zh-CN" w:bidi="ar"/>
        </w:rPr>
      </w:pPr>
    </w:p>
    <w:p w14:paraId="78C28796">
      <w:pPr>
        <w:jc w:val="both"/>
        <w:rPr>
          <w:rFonts w:hint="eastAsia" w:ascii="宋体" w:hAnsi="宋体" w:eastAsia="宋体" w:cs="宋体"/>
          <w:b/>
          <w:bCs/>
          <w:kern w:val="2"/>
          <w:sz w:val="44"/>
          <w:szCs w:val="44"/>
          <w:lang w:val="en-US" w:eastAsia="zh-CN" w:bidi="ar"/>
        </w:rPr>
      </w:pPr>
    </w:p>
    <w:p w14:paraId="1F3FFB4F">
      <w:pPr>
        <w:pStyle w:val="6"/>
        <w:jc w:val="center"/>
        <w:rPr>
          <w:rFonts w:hint="eastAsia" w:ascii="宋体" w:hAnsi="宋体" w:eastAsia="宋体" w:cs="宋体"/>
          <w:b/>
          <w:bCs/>
          <w:spacing w:val="20"/>
          <w:kern w:val="0"/>
          <w:sz w:val="100"/>
          <w:szCs w:val="100"/>
        </w:rPr>
      </w:pPr>
      <w:r>
        <w:rPr>
          <w:rFonts w:hint="eastAsia" w:ascii="宋体" w:hAnsi="宋体" w:eastAsia="宋体" w:cs="宋体"/>
          <w:b/>
          <w:bCs/>
          <w:spacing w:val="20"/>
          <w:kern w:val="0"/>
          <w:sz w:val="160"/>
          <w:szCs w:val="160"/>
        </w:rPr>
        <w:t>签</w:t>
      </w:r>
    </w:p>
    <w:p w14:paraId="1D4D7834">
      <w:pPr>
        <w:pStyle w:val="6"/>
        <w:jc w:val="center"/>
        <w:rPr>
          <w:rFonts w:hint="eastAsia" w:ascii="宋体" w:hAnsi="宋体" w:eastAsia="宋体" w:cs="宋体"/>
          <w:b/>
          <w:bCs/>
          <w:spacing w:val="20"/>
          <w:kern w:val="0"/>
          <w:sz w:val="100"/>
          <w:szCs w:val="100"/>
        </w:rPr>
      </w:pPr>
      <w:r>
        <w:rPr>
          <w:rFonts w:hint="eastAsia" w:ascii="宋体" w:hAnsi="宋体" w:eastAsia="宋体" w:cs="宋体"/>
          <w:b/>
          <w:bCs/>
          <w:spacing w:val="20"/>
          <w:kern w:val="0"/>
          <w:sz w:val="160"/>
          <w:szCs w:val="160"/>
        </w:rPr>
        <w:t>约</w:t>
      </w:r>
    </w:p>
    <w:p w14:paraId="2D3D2FEA">
      <w:pPr>
        <w:pStyle w:val="6"/>
        <w:jc w:val="center"/>
        <w:rPr>
          <w:rFonts w:hint="eastAsia" w:ascii="宋体" w:hAnsi="宋体" w:eastAsia="宋体" w:cs="宋体"/>
          <w:b w:val="0"/>
          <w:bCs/>
          <w:kern w:val="0"/>
          <w:sz w:val="144"/>
          <w:szCs w:val="144"/>
        </w:rPr>
      </w:pPr>
      <w:r>
        <w:rPr>
          <w:rFonts w:hint="eastAsia" w:ascii="宋体" w:hAnsi="宋体" w:eastAsia="宋体" w:cs="宋体"/>
          <w:b/>
          <w:bCs/>
          <w:spacing w:val="20"/>
          <w:kern w:val="0"/>
          <w:sz w:val="160"/>
          <w:szCs w:val="160"/>
        </w:rPr>
        <w:t>书</w:t>
      </w:r>
      <w:bookmarkStart w:id="3" w:name="_GoBack"/>
      <w:bookmarkEnd w:id="3"/>
    </w:p>
    <w:p w14:paraId="125C3514">
      <w:pPr>
        <w:jc w:val="center"/>
        <w:rPr>
          <w:rFonts w:hint="eastAsia" w:ascii="宋体" w:hAnsi="宋体" w:eastAsia="宋体" w:cs="宋体"/>
          <w:sz w:val="100"/>
          <w:szCs w:val="100"/>
        </w:rPr>
      </w:pPr>
    </w:p>
    <w:p w14:paraId="3AF3ECC5">
      <w:pPr>
        <w:rPr>
          <w:rFonts w:hint="eastAsia" w:ascii="宋体" w:hAnsi="宋体" w:eastAsia="宋体" w:cs="宋体"/>
        </w:rPr>
      </w:pPr>
    </w:p>
    <w:p w14:paraId="602EEA7B">
      <w:pPr>
        <w:pStyle w:val="6"/>
        <w:jc w:val="center"/>
        <w:rPr>
          <w:rFonts w:hint="eastAsia" w:ascii="宋体" w:hAnsi="宋体" w:eastAsia="宋体" w:cs="宋体"/>
          <w:b/>
          <w:bCs w:val="0"/>
          <w:kern w:val="0"/>
          <w:sz w:val="28"/>
          <w:szCs w:val="28"/>
          <w:lang w:val="en-US" w:eastAsia="zh-CN"/>
        </w:rPr>
      </w:pPr>
    </w:p>
    <w:p w14:paraId="2560256B">
      <w:pPr>
        <w:pStyle w:val="6"/>
        <w:jc w:val="center"/>
        <w:rPr>
          <w:rFonts w:hint="eastAsia" w:ascii="宋体" w:hAnsi="宋体" w:eastAsia="宋体" w:cs="宋体"/>
          <w:b/>
          <w:bCs w:val="0"/>
          <w:kern w:val="2"/>
          <w:sz w:val="32"/>
          <w:szCs w:val="32"/>
          <w:lang w:val="en-US" w:eastAsia="zh-CN" w:bidi="ar"/>
        </w:rPr>
      </w:pPr>
      <w:r>
        <w:rPr>
          <w:rFonts w:hint="eastAsia" w:ascii="宋体" w:hAnsi="宋体" w:eastAsia="宋体" w:cs="宋体"/>
          <w:b/>
          <w:bCs w:val="0"/>
          <w:kern w:val="0"/>
          <w:sz w:val="32"/>
          <w:szCs w:val="32"/>
          <w:lang w:val="en-US" w:eastAsia="zh-CN"/>
        </w:rPr>
        <w:t>- 佛山市南海区建筑业协会 -</w:t>
      </w:r>
    </w:p>
    <w:p w14:paraId="399C5B2D">
      <w:pPr>
        <w:rPr>
          <w:rFonts w:hint="eastAsia" w:ascii="方正小标宋简体" w:hAnsi="方正小标宋简体" w:eastAsia="方正小标宋简体" w:cs="方正小标宋简体"/>
          <w:b w:val="0"/>
          <w:bCs w:val="0"/>
          <w:kern w:val="2"/>
          <w:sz w:val="44"/>
          <w:szCs w:val="44"/>
          <w:lang w:val="en-US" w:eastAsia="zh-CN" w:bidi="ar"/>
        </w:rPr>
      </w:pPr>
      <w:r>
        <w:rPr>
          <w:rFonts w:hint="eastAsia" w:ascii="方正小标宋简体" w:hAnsi="方正小标宋简体" w:eastAsia="方正小标宋简体" w:cs="方正小标宋简体"/>
          <w:b w:val="0"/>
          <w:bCs w:val="0"/>
          <w:kern w:val="2"/>
          <w:sz w:val="44"/>
          <w:szCs w:val="44"/>
          <w:lang w:val="en-US" w:eastAsia="zh-CN" w:bidi="ar"/>
        </w:rPr>
        <w:br w:type="page"/>
      </w:r>
    </w:p>
    <w:p w14:paraId="6CE578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right="0"/>
        <w:jc w:val="center"/>
        <w:textAlignment w:val="auto"/>
        <w:outlineLvl w:val="0"/>
        <w:rPr>
          <w:rFonts w:hint="eastAsia" w:ascii="方正小标宋简体" w:hAnsi="方正小标宋简体" w:eastAsia="方正小标宋简体" w:cs="方正小标宋简体"/>
          <w:b w:val="0"/>
          <w:bCs w:val="0"/>
          <w:kern w:val="2"/>
          <w:sz w:val="44"/>
          <w:szCs w:val="44"/>
        </w:rPr>
      </w:pPr>
      <w:r>
        <w:rPr>
          <w:rFonts w:hint="eastAsia" w:ascii="方正小标宋简体" w:hAnsi="方正小标宋简体" w:eastAsia="方正小标宋简体" w:cs="方正小标宋简体"/>
          <w:b w:val="0"/>
          <w:bCs w:val="0"/>
          <w:kern w:val="2"/>
          <w:sz w:val="44"/>
          <w:szCs w:val="44"/>
          <w:lang w:val="en-US" w:eastAsia="zh-CN" w:bidi="ar"/>
        </w:rPr>
        <w:t>佛山市南海区建筑业协会招标代理行业</w:t>
      </w:r>
      <w:bookmarkEnd w:id="0"/>
    </w:p>
    <w:p w14:paraId="429B0D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right="0"/>
        <w:jc w:val="center"/>
        <w:textAlignment w:val="auto"/>
        <w:outlineLvl w:val="0"/>
        <w:rPr>
          <w:rFonts w:hint="eastAsia" w:ascii="宋体" w:hAnsi="宋体" w:eastAsia="宋体" w:cs="宋体"/>
          <w:b/>
          <w:bCs/>
          <w:kern w:val="2"/>
          <w:sz w:val="44"/>
          <w:szCs w:val="44"/>
        </w:rPr>
      </w:pPr>
      <w:bookmarkStart w:id="1" w:name="_Toc26268"/>
      <w:bookmarkStart w:id="2" w:name="_Toc32344"/>
      <w:r>
        <w:rPr>
          <w:rFonts w:hint="eastAsia" w:ascii="方正小标宋简体" w:hAnsi="方正小标宋简体" w:eastAsia="方正小标宋简体" w:cs="方正小标宋简体"/>
          <w:b w:val="0"/>
          <w:bCs w:val="0"/>
          <w:kern w:val="2"/>
          <w:sz w:val="44"/>
          <w:szCs w:val="44"/>
          <w:lang w:val="en-US" w:eastAsia="zh-CN" w:bidi="ar"/>
        </w:rPr>
        <w:t>自律公约</w:t>
      </w:r>
      <w:bookmarkEnd w:id="1"/>
      <w:bookmarkEnd w:id="2"/>
    </w:p>
    <w:p w14:paraId="2EECA592">
      <w:pPr>
        <w:keepNext w:val="0"/>
        <w:keepLines w:val="0"/>
        <w:pageBreakBefore w:val="0"/>
        <w:widowControl w:val="0"/>
        <w:suppressLineNumbers w:val="0"/>
        <w:kinsoku/>
        <w:wordWrap/>
        <w:overflowPunct/>
        <w:topLinePunct w:val="0"/>
        <w:bidi w:val="0"/>
        <w:snapToGrid/>
        <w:spacing w:before="0" w:beforeAutospacing="0" w:after="0" w:afterAutospacing="0" w:line="560" w:lineRule="exact"/>
        <w:ind w:left="0" w:right="0"/>
        <w:jc w:val="center"/>
        <w:textAlignment w:val="auto"/>
        <w:rPr>
          <w:rFonts w:hint="eastAsia" w:ascii="宋体" w:hAnsi="宋体" w:eastAsia="宋体" w:cs="宋体"/>
          <w:b/>
          <w:bCs/>
          <w:kern w:val="2"/>
          <w:sz w:val="32"/>
          <w:szCs w:val="32"/>
        </w:rPr>
      </w:pPr>
      <w:r>
        <w:rPr>
          <w:rFonts w:hint="eastAsia" w:ascii="宋体" w:hAnsi="宋体" w:eastAsia="宋体" w:cs="宋体"/>
          <w:b/>
          <w:bCs/>
          <w:kern w:val="2"/>
          <w:sz w:val="32"/>
          <w:szCs w:val="32"/>
          <w:lang w:val="en-US" w:eastAsia="zh-CN" w:bidi="ar"/>
        </w:rPr>
        <w:t xml:space="preserve"> </w:t>
      </w:r>
    </w:p>
    <w:p w14:paraId="273476A3">
      <w:pPr>
        <w:keepNext w:val="0"/>
        <w:keepLines w:val="0"/>
        <w:pageBreakBefore w:val="0"/>
        <w:widowControl w:val="0"/>
        <w:numPr>
          <w:ilvl w:val="0"/>
          <w:numId w:val="0"/>
        </w:numPr>
        <w:suppressLineNumbers w:val="0"/>
        <w:kinsoku/>
        <w:wordWrap/>
        <w:overflowPunct/>
        <w:topLinePunct w:val="0"/>
        <w:bidi w:val="0"/>
        <w:snapToGrid/>
        <w:spacing w:before="0" w:beforeAutospacing="0" w:after="0" w:afterAutospacing="0" w:line="560" w:lineRule="exact"/>
        <w:ind w:right="0" w:rightChars="0"/>
        <w:jc w:val="center"/>
        <w:textAlignment w:val="auto"/>
        <w:rPr>
          <w:rFonts w:hint="eastAsia" w:ascii="Calibri" w:hAnsi="Calibri" w:eastAsia="宋体" w:cs="Times New Roman"/>
          <w:kern w:val="2"/>
          <w:sz w:val="32"/>
          <w:szCs w:val="32"/>
        </w:rPr>
      </w:pPr>
      <w:r>
        <w:rPr>
          <w:rFonts w:hint="eastAsia" w:ascii="仿宋_GB2312" w:hAnsi="仿宋_GB2312" w:eastAsia="仿宋_GB2312" w:cs="仿宋_GB2312"/>
          <w:b/>
          <w:bCs/>
          <w:kern w:val="2"/>
          <w:sz w:val="32"/>
          <w:szCs w:val="32"/>
          <w:lang w:val="en-US" w:eastAsia="zh-CN" w:bidi="ar"/>
        </w:rPr>
        <w:t>第一章  总 则</w:t>
      </w:r>
    </w:p>
    <w:p w14:paraId="6C0FC67A">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第一条</w:t>
      </w:r>
      <w:r>
        <w:rPr>
          <w:rFonts w:hint="eastAsia" w:ascii="仿宋_GB2312" w:hAnsi="仿宋_GB2312" w:eastAsia="仿宋_GB2312" w:cs="仿宋_GB2312"/>
          <w:b w:val="0"/>
          <w:bCs/>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为建立健全工程招标代理机构行业自律机制，规范和维护我区建设工程招标投标行业秩序和经营行为，推进行业诚信体系建设，促进行业健康有序发展，提高招标代理机构及其从业人员的职业道德水平和自觉抵制违法违规、违约失信行为的能力，按照中央、省、市相关法律法规和政策文件的要求，特制订本公约。</w:t>
      </w:r>
    </w:p>
    <w:p w14:paraId="4308E8D5">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第二条</w:t>
      </w:r>
      <w:r>
        <w:rPr>
          <w:rFonts w:hint="eastAsia" w:ascii="仿宋_GB2312" w:hAnsi="仿宋_GB2312" w:eastAsia="仿宋_GB2312" w:cs="仿宋_GB2312"/>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佛山市南海区建筑业协会招标代理分会（以下简称“招标代理分会”）会员单位必须签署和遵守本公约，鼓励非会员单位签署和遵守本公约，共同推进行业自律，创造良好的行业发展环境。</w:t>
      </w:r>
    </w:p>
    <w:p w14:paraId="1D6A8C1A">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签署公约自愿，退出公约自由。招标代理分会会员退出公约时，其会员资格自动取消。</w:t>
      </w:r>
    </w:p>
    <w:p w14:paraId="6F808AA8">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第三条</w:t>
      </w:r>
      <w:r>
        <w:rPr>
          <w:rFonts w:hint="eastAsia" w:ascii="仿宋_GB2312" w:hAnsi="仿宋_GB2312" w:eastAsia="仿宋_GB2312" w:cs="仿宋_GB2312"/>
          <w:kern w:val="2"/>
          <w:sz w:val="32"/>
          <w:szCs w:val="32"/>
          <w:lang w:val="en-US" w:eastAsia="zh-CN" w:bidi="ar"/>
        </w:rPr>
        <w:t xml:space="preserve">  招标代理分会是本公约的制定机构、发布机构和管理机构。招标代理分会对本公约的管理工作，接受佛山市南海区政务服务和数据管理局、佛山市南海区住房城乡建设和水务局等有关部门的监督和指导。</w:t>
      </w:r>
    </w:p>
    <w:p w14:paraId="70B22CCF">
      <w:pPr>
        <w:keepNext w:val="0"/>
        <w:keepLines w:val="0"/>
        <w:pageBreakBefore w:val="0"/>
        <w:widowControl w:val="0"/>
        <w:suppressLineNumbers w:val="0"/>
        <w:kinsoku/>
        <w:wordWrap/>
        <w:overflowPunct/>
        <w:topLinePunct w:val="0"/>
        <w:bidi w:val="0"/>
        <w:snapToGrid/>
        <w:spacing w:before="0" w:beforeAutospacing="0" w:after="0" w:afterAutospacing="0" w:line="560" w:lineRule="exact"/>
        <w:ind w:left="0" w:leftChars="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 xml:space="preserve"> </w:t>
      </w:r>
    </w:p>
    <w:p w14:paraId="1483ACE7">
      <w:pPr>
        <w:keepNext w:val="0"/>
        <w:keepLines w:val="0"/>
        <w:pageBreakBefore w:val="0"/>
        <w:widowControl w:val="0"/>
        <w:suppressLineNumbers w:val="0"/>
        <w:kinsoku/>
        <w:wordWrap/>
        <w:overflowPunct/>
        <w:topLinePunct w:val="0"/>
        <w:bidi w:val="0"/>
        <w:snapToGrid/>
        <w:spacing w:before="0" w:beforeAutospacing="0" w:after="0" w:afterAutospacing="0" w:line="560" w:lineRule="exact"/>
        <w:ind w:left="0" w:leftChars="0" w:right="0" w:firstLine="640" w:firstLineChars="200"/>
        <w:jc w:val="both"/>
        <w:textAlignment w:val="auto"/>
        <w:rPr>
          <w:rFonts w:hint="eastAsia" w:ascii="仿宋_GB2312" w:hAnsi="仿宋_GB2312" w:eastAsia="仿宋_GB2312" w:cs="仿宋_GB2312"/>
          <w:kern w:val="2"/>
          <w:sz w:val="32"/>
          <w:szCs w:val="32"/>
          <w:lang w:val="en-US" w:eastAsia="zh-CN" w:bidi="ar"/>
        </w:rPr>
      </w:pPr>
    </w:p>
    <w:p w14:paraId="4BC047D2">
      <w:pPr>
        <w:keepNext w:val="0"/>
        <w:keepLines w:val="0"/>
        <w:pageBreakBefore w:val="0"/>
        <w:widowControl w:val="0"/>
        <w:suppressLineNumbers w:val="0"/>
        <w:kinsoku/>
        <w:wordWrap/>
        <w:overflowPunct/>
        <w:topLinePunct w:val="0"/>
        <w:bidi w:val="0"/>
        <w:snapToGrid/>
        <w:spacing w:before="0" w:beforeAutospacing="0" w:after="0" w:afterAutospacing="0" w:line="560" w:lineRule="exact"/>
        <w:ind w:right="0"/>
        <w:jc w:val="center"/>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kern w:val="2"/>
          <w:sz w:val="32"/>
          <w:szCs w:val="32"/>
          <w:lang w:val="en-US" w:eastAsia="zh-CN" w:bidi="ar"/>
        </w:rPr>
        <w:t>第二章  行为公约</w:t>
      </w:r>
    </w:p>
    <w:p w14:paraId="2EE7C790">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第四条</w:t>
      </w:r>
      <w:r>
        <w:rPr>
          <w:rFonts w:hint="eastAsia" w:ascii="仿宋_GB2312" w:hAnsi="仿宋_GB2312" w:eastAsia="仿宋_GB2312" w:cs="仿宋_GB2312"/>
          <w:kern w:val="2"/>
          <w:sz w:val="32"/>
          <w:szCs w:val="32"/>
          <w:lang w:val="en-US" w:eastAsia="zh-CN" w:bidi="ar"/>
        </w:rPr>
        <w:t xml:space="preserve"> </w:t>
      </w:r>
      <w:r>
        <w:rPr>
          <w:rFonts w:hint="eastAsia" w:ascii="仿宋_GB2312" w:hAnsi="仿宋_GB2312" w:eastAsia="仿宋_GB2312" w:cs="仿宋_GB2312"/>
          <w:kern w:val="0"/>
          <w:sz w:val="32"/>
          <w:szCs w:val="32"/>
          <w:lang w:val="en-US" w:eastAsia="zh-CN" w:bidi="ar"/>
        </w:rPr>
        <w:t>招标代理机构应严格遵守相关法律法规，响应政策，依法从事招投标代理或投标咨询活动，诚实守信，严格遵守职业道德。</w:t>
      </w:r>
    </w:p>
    <w:p w14:paraId="2720C159">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b/>
          <w:bCs w:val="0"/>
          <w:kern w:val="0"/>
          <w:sz w:val="32"/>
          <w:szCs w:val="32"/>
          <w:lang w:val="en-US" w:eastAsia="zh-CN" w:bidi="ar"/>
        </w:rPr>
        <w:t>第五条</w:t>
      </w:r>
      <w:r>
        <w:rPr>
          <w:rFonts w:hint="eastAsia" w:ascii="仿宋_GB2312" w:hAnsi="仿宋_GB2312" w:eastAsia="仿宋_GB2312" w:cs="仿宋_GB2312"/>
          <w:kern w:val="0"/>
          <w:sz w:val="32"/>
          <w:szCs w:val="32"/>
          <w:lang w:val="en-US" w:eastAsia="zh-CN" w:bidi="ar"/>
        </w:rPr>
        <w:t xml:space="preserve">  招标代理机构代理建设工程项目前，应及时与招标人签订书面委托代理合同，并取得招标人的授权委托书，在授权的范围内开展招标代理活动。认真履行招标代理合同规定的义务，并承担约定的责任。</w:t>
      </w:r>
    </w:p>
    <w:p w14:paraId="57595A36">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第六条</w:t>
      </w:r>
      <w:r>
        <w:rPr>
          <w:rFonts w:hint="eastAsia" w:ascii="仿宋_GB2312" w:hAnsi="仿宋_GB2312" w:eastAsia="仿宋_GB2312" w:cs="仿宋_GB2312"/>
          <w:kern w:val="2"/>
          <w:sz w:val="32"/>
          <w:szCs w:val="32"/>
          <w:lang w:val="en-US" w:eastAsia="zh-CN" w:bidi="ar"/>
        </w:rPr>
        <w:t xml:space="preserve">  招标代理应当熟悉招标投标工作流程，招标文件编制要求，招标文件编制应具有合法性、规范性，并积极配合招标投标疑问澄清和解答等工作。</w:t>
      </w:r>
    </w:p>
    <w:p w14:paraId="53BD9BEA">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bCs w:val="0"/>
          <w:kern w:val="2"/>
          <w:sz w:val="32"/>
          <w:szCs w:val="32"/>
        </w:rPr>
      </w:pPr>
      <w:r>
        <w:rPr>
          <w:rFonts w:hint="eastAsia" w:ascii="仿宋_GB2312" w:hAnsi="仿宋_GB2312" w:eastAsia="仿宋_GB2312" w:cs="仿宋_GB2312"/>
          <w:b/>
          <w:bCs w:val="0"/>
          <w:kern w:val="0"/>
          <w:sz w:val="32"/>
          <w:szCs w:val="32"/>
          <w:lang w:val="en-US" w:eastAsia="zh-CN" w:bidi="ar"/>
        </w:rPr>
        <w:t xml:space="preserve">第七条  </w:t>
      </w:r>
      <w:r>
        <w:rPr>
          <w:rFonts w:hint="eastAsia" w:ascii="仿宋_GB2312" w:hAnsi="仿宋_GB2312" w:eastAsia="仿宋_GB2312" w:cs="仿宋_GB2312"/>
          <w:kern w:val="2"/>
          <w:sz w:val="32"/>
          <w:szCs w:val="32"/>
          <w:lang w:val="en-US" w:eastAsia="zh-CN" w:bidi="ar"/>
        </w:rPr>
        <w:t>招标代理机构应当保守在业务活动中知悉的国家秘密或应当保密的与招标投标活动有关的情况和资料。</w:t>
      </w:r>
    </w:p>
    <w:p w14:paraId="623BF552">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第八条</w:t>
      </w:r>
      <w:r>
        <w:rPr>
          <w:rFonts w:hint="eastAsia" w:ascii="仿宋_GB2312" w:hAnsi="仿宋_GB2312" w:eastAsia="仿宋_GB2312" w:cs="仿宋_GB2312"/>
          <w:b/>
          <w:bCs w:val="0"/>
          <w:kern w:val="2"/>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招标代理机构应加强内部管理，建立健全各项制度，重点落实回避制度、奖惩制度、分责制度等，形成良好的运行机制，塑造良好行业氛围。</w:t>
      </w:r>
    </w:p>
    <w:p w14:paraId="05CB6CF8">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第九条</w:t>
      </w:r>
      <w:r>
        <w:rPr>
          <w:rFonts w:hint="eastAsia" w:ascii="仿宋_GB2312" w:hAnsi="仿宋_GB2312" w:eastAsia="仿宋_GB2312" w:cs="仿宋_GB2312"/>
          <w:b/>
          <w:bCs w:val="0"/>
          <w:kern w:val="2"/>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招标代理机构从业人员应当熟悉招标投标相关法律法规和政策规定，具备一定招标代理或者管理工作经验。招标代理机构应采用培训、学习等方式，提高从业者素质。</w:t>
      </w:r>
    </w:p>
    <w:p w14:paraId="319FC072">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第十条</w:t>
      </w:r>
      <w:r>
        <w:rPr>
          <w:rFonts w:hint="eastAsia" w:ascii="仿宋_GB2312" w:hAnsi="仿宋_GB2312" w:eastAsia="仿宋_GB2312" w:cs="仿宋_GB2312"/>
          <w:kern w:val="2"/>
          <w:sz w:val="32"/>
          <w:szCs w:val="32"/>
          <w:lang w:val="en-US" w:eastAsia="zh-CN" w:bidi="ar"/>
        </w:rPr>
        <w:t xml:space="preserve">  招标代理机构应当自觉维护招标投标活动秩序。坚决抵制串通投标、暗箱操作、徇私舞弊、违法交易，采取有效的措施预防虚假招标；不受招标人（建设单位）等任何单位和个人的干预和影响，保证招标代理活动程序合法合规、公开透明；不得与行政机关、委托方、投标人有隶属或其他利益关系，不得接受任何形式的利益输送或变相获取不正当利益，确保代理活动的独立性和公正性。</w:t>
      </w:r>
    </w:p>
    <w:p w14:paraId="3920D813">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第十一条</w:t>
      </w:r>
      <w:r>
        <w:rPr>
          <w:rFonts w:hint="eastAsia" w:ascii="仿宋_GB2312" w:hAnsi="仿宋_GB2312" w:eastAsia="仿宋_GB2312" w:cs="仿宋_GB2312"/>
          <w:kern w:val="2"/>
          <w:sz w:val="32"/>
          <w:szCs w:val="32"/>
          <w:lang w:val="en-US" w:eastAsia="zh-CN" w:bidi="ar"/>
        </w:rPr>
        <w:t xml:space="preserve">  招标代理机构应严格遵守行业公约、执业行为准则、执业操作规程。不得向建设单位索取额外报酬；不得以低于成本的价格承揽招标代理业务；不得以不正当手段排挤、诋毁同行，损害客户利益；不得分割、封锁、垄断经营；不得挂靠、转包业务；不得超越许可范围承接业务；不得通过弄虚作假、围标串标、行贿等手段进行不正当竞争。</w:t>
      </w:r>
    </w:p>
    <w:p w14:paraId="3A890564">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第十二条</w:t>
      </w:r>
      <w:r>
        <w:rPr>
          <w:rFonts w:hint="eastAsia" w:ascii="仿宋_GB2312" w:hAnsi="仿宋_GB2312" w:eastAsia="仿宋_GB2312" w:cs="仿宋_GB2312"/>
          <w:b/>
          <w:bCs w:val="0"/>
          <w:kern w:val="2"/>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招标代理机构应严格按照《中华人民共和国劳动合同法》及相关规定聘用员工，签订劳动合同，并按规定缴纳社会保险，维护员工的合法权益。建立企业内部管理制度，关爱员工，加强企业文化建设，提高企业凝聚力。</w:t>
      </w:r>
    </w:p>
    <w:p w14:paraId="58C07B60">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第十三条</w:t>
      </w:r>
      <w:r>
        <w:rPr>
          <w:rFonts w:hint="eastAsia" w:ascii="仿宋_GB2312" w:hAnsi="仿宋_GB2312" w:eastAsia="仿宋_GB2312" w:cs="仿宋_GB2312"/>
          <w:b w:val="0"/>
          <w:bCs/>
          <w:kern w:val="0"/>
          <w:sz w:val="32"/>
          <w:szCs w:val="32"/>
          <w:lang w:val="en-US" w:eastAsia="zh-CN" w:bidi="ar"/>
        </w:rPr>
        <w:t xml:space="preserve"> </w:t>
      </w:r>
      <w:r>
        <w:rPr>
          <w:rFonts w:hint="eastAsia" w:ascii="仿宋_GB2312" w:hAnsi="仿宋_GB2312" w:eastAsia="仿宋_GB2312" w:cs="仿宋_GB2312"/>
          <w:b w:val="0"/>
          <w:bCs/>
          <w:kern w:val="2"/>
          <w:sz w:val="32"/>
          <w:szCs w:val="32"/>
          <w:lang w:val="en-US" w:eastAsia="zh-CN" w:bidi="ar"/>
        </w:rPr>
        <w:t>招标代理机构应按时按规缴纳招标代理分会会费，</w:t>
      </w:r>
      <w:r>
        <w:rPr>
          <w:rFonts w:hint="eastAsia" w:ascii="仿宋_GB2312" w:hAnsi="仿宋_GB2312" w:eastAsia="仿宋_GB2312" w:cs="仿宋_GB2312"/>
          <w:kern w:val="2"/>
          <w:sz w:val="32"/>
          <w:szCs w:val="32"/>
          <w:lang w:val="en-US" w:eastAsia="zh-CN" w:bidi="ar"/>
        </w:rPr>
        <w:t>积极参与和配合招标代理分会组织的行业自律检查，共同为推进社会诚信体系建设贡献力量。</w:t>
      </w:r>
    </w:p>
    <w:p w14:paraId="4F87F7CE">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第十四条</w:t>
      </w:r>
      <w:r>
        <w:rPr>
          <w:rFonts w:hint="eastAsia" w:ascii="仿宋_GB2312" w:hAnsi="仿宋_GB2312" w:eastAsia="仿宋_GB2312" w:cs="仿宋_GB2312"/>
          <w:kern w:val="2"/>
          <w:sz w:val="32"/>
          <w:szCs w:val="32"/>
          <w:lang w:val="en-US" w:eastAsia="zh-CN" w:bidi="ar"/>
        </w:rPr>
        <w:t xml:space="preserve">  招标代理机构应自觉接受行政监管部门的管理，按照管理要求，上报人员、业绩、奖惩等信息。</w:t>
      </w:r>
    </w:p>
    <w:p w14:paraId="6E7D627C">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在招标投标活动中遇到投诉或纠纷的，自觉接受行政监管部门或行业协会的协调。</w:t>
      </w:r>
    </w:p>
    <w:p w14:paraId="669873D1">
      <w:pPr>
        <w:keepNext w:val="0"/>
        <w:keepLines w:val="0"/>
        <w:pageBreakBefore w:val="0"/>
        <w:widowControl w:val="0"/>
        <w:suppressLineNumbers w:val="0"/>
        <w:kinsoku/>
        <w:wordWrap/>
        <w:overflowPunct/>
        <w:topLinePunct w:val="0"/>
        <w:bidi w:val="0"/>
        <w:snapToGrid/>
        <w:spacing w:before="0" w:beforeAutospacing="0" w:after="0" w:afterAutospacing="0" w:line="560" w:lineRule="exact"/>
        <w:ind w:left="0" w:leftChars="0" w:right="0" w:firstLine="643" w:firstLineChars="200"/>
        <w:jc w:val="both"/>
        <w:textAlignment w:val="auto"/>
        <w:rPr>
          <w:rFonts w:hint="eastAsia" w:ascii="仿宋_GB2312" w:hAnsi="仿宋_GB2312" w:eastAsia="仿宋_GB2312" w:cs="仿宋_GB2312"/>
          <w:b/>
          <w:bCs w:val="0"/>
          <w:kern w:val="2"/>
          <w:sz w:val="32"/>
          <w:szCs w:val="32"/>
        </w:rPr>
      </w:pPr>
      <w:r>
        <w:rPr>
          <w:rFonts w:hint="eastAsia" w:ascii="仿宋_GB2312" w:hAnsi="仿宋_GB2312" w:eastAsia="仿宋_GB2312" w:cs="仿宋_GB2312"/>
          <w:b/>
          <w:bCs w:val="0"/>
          <w:kern w:val="2"/>
          <w:sz w:val="32"/>
          <w:szCs w:val="32"/>
          <w:lang w:val="en-US" w:eastAsia="zh-CN" w:bidi="ar"/>
        </w:rPr>
        <w:t xml:space="preserve"> </w:t>
      </w:r>
    </w:p>
    <w:p w14:paraId="6198CF83">
      <w:pPr>
        <w:keepNext w:val="0"/>
        <w:keepLines w:val="0"/>
        <w:pageBreakBefore w:val="0"/>
        <w:widowControl w:val="0"/>
        <w:suppressLineNumbers w:val="0"/>
        <w:kinsoku/>
        <w:wordWrap/>
        <w:overflowPunct/>
        <w:topLinePunct w:val="0"/>
        <w:bidi w:val="0"/>
        <w:snapToGrid/>
        <w:spacing w:before="0" w:beforeAutospacing="0" w:after="0" w:afterAutospacing="0" w:line="560" w:lineRule="exact"/>
        <w:ind w:right="0"/>
        <w:jc w:val="center"/>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kern w:val="2"/>
          <w:sz w:val="32"/>
          <w:szCs w:val="32"/>
          <w:lang w:val="en-US" w:eastAsia="zh-CN" w:bidi="ar"/>
        </w:rPr>
        <w:t>第三章</w:t>
      </w:r>
      <w:r>
        <w:rPr>
          <w:rFonts w:hint="eastAsia" w:ascii="仿宋_GB2312" w:hAnsi="仿宋_GB2312" w:eastAsia="仿宋_GB2312" w:cs="仿宋_GB2312"/>
          <w:b/>
          <w:bCs/>
          <w:kern w:val="0"/>
          <w:sz w:val="32"/>
          <w:szCs w:val="32"/>
          <w:lang w:val="en-US" w:eastAsia="zh-CN" w:bidi="ar"/>
        </w:rPr>
        <w:t xml:space="preserve">  监管与违约处理</w:t>
      </w:r>
    </w:p>
    <w:p w14:paraId="4E3BFD8E">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第十五条</w:t>
      </w:r>
      <w:r>
        <w:rPr>
          <w:rFonts w:hint="eastAsia" w:ascii="仿宋_GB2312" w:hAnsi="仿宋_GB2312" w:eastAsia="仿宋_GB2312" w:cs="仿宋_GB2312"/>
          <w:b w:val="0"/>
          <w:bCs/>
          <w:kern w:val="0"/>
          <w:sz w:val="32"/>
          <w:szCs w:val="32"/>
          <w:lang w:val="en-US" w:eastAsia="zh-CN" w:bidi="ar"/>
        </w:rPr>
        <w:t xml:space="preserve"> </w:t>
      </w:r>
      <w:r>
        <w:rPr>
          <w:rFonts w:hint="eastAsia" w:ascii="仿宋_GB2312" w:hAnsi="仿宋_GB2312" w:eastAsia="仿宋_GB2312" w:cs="仿宋_GB2312"/>
          <w:b/>
          <w:bCs w:val="0"/>
          <w:kern w:val="2"/>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招标代理分会负责指导签约单位对本公约的履行情况，定期或不定期开展行业自律检查，并有权将履行情况向社会公布。</w:t>
      </w:r>
    </w:p>
    <w:p w14:paraId="3A2EEFA1">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第十六条</w:t>
      </w:r>
      <w:r>
        <w:rPr>
          <w:rFonts w:hint="eastAsia" w:ascii="仿宋_GB2312" w:hAnsi="仿宋_GB2312" w:eastAsia="仿宋_GB2312" w:cs="仿宋_GB2312"/>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 xml:space="preserve"> 任何单位和个人均有权举报违约行为。招标代理分会对举报情况进行核查时，相关单位和人员应积极配合，如实提供所需资料。</w:t>
      </w:r>
    </w:p>
    <w:p w14:paraId="27BF9DDA">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第十七条</w:t>
      </w:r>
      <w:r>
        <w:rPr>
          <w:rFonts w:hint="eastAsia" w:ascii="仿宋_GB2312" w:hAnsi="仿宋_GB2312" w:eastAsia="仿宋_GB2312" w:cs="仿宋_GB2312"/>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 xml:space="preserve"> 任何单位和个人均有权对招标代理分会组织实施本公约的公正性进行监督。</w:t>
      </w:r>
    </w:p>
    <w:p w14:paraId="440D884B">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第十八条</w:t>
      </w:r>
      <w:r>
        <w:rPr>
          <w:rFonts w:hint="eastAsia" w:ascii="仿宋_GB2312" w:hAnsi="仿宋_GB2312" w:eastAsia="仿宋_GB2312" w:cs="仿宋_GB2312"/>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 xml:space="preserve"> 对于违反公约的行为，可采取以下方式予以查实：</w:t>
      </w:r>
    </w:p>
    <w:p w14:paraId="572BFC6F">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1.约谈相关人员；</w:t>
      </w:r>
    </w:p>
    <w:p w14:paraId="6B39ADB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leftChars="0" w:right="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2.要求违约单位限时作出书面解释和改正；</w:t>
      </w:r>
    </w:p>
    <w:p w14:paraId="000009A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leftChars="0" w:right="0" w:firstLine="640" w:firstLineChars="200"/>
        <w:jc w:val="both"/>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kern w:val="2"/>
          <w:sz w:val="32"/>
          <w:szCs w:val="32"/>
          <w:lang w:val="en-US" w:eastAsia="zh-CN" w:bidi="ar"/>
        </w:rPr>
        <w:t>3.由招标代理分会组织的纪律委员会派出专门的调查组进行核查等。</w:t>
      </w:r>
    </w:p>
    <w:p w14:paraId="3DB0A414">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第十九条</w:t>
      </w:r>
      <w:r>
        <w:rPr>
          <w:rFonts w:hint="eastAsia" w:ascii="仿宋_GB2312" w:hAnsi="仿宋_GB2312" w:eastAsia="仿宋_GB2312" w:cs="仿宋_GB2312"/>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对于违反公约并经查实的，可采取以下方式予以惩戒：</w:t>
      </w:r>
    </w:p>
    <w:p w14:paraId="328B05D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leftChars="0" w:right="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1.对相关单位负责人进行约谈；</w:t>
      </w:r>
    </w:p>
    <w:p w14:paraId="0D143EC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leftChars="0" w:right="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2.要求相关单位作出书面检查；</w:t>
      </w:r>
    </w:p>
    <w:p w14:paraId="5ED271F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leftChars="0" w:right="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3.通过招标代理分会官网、公众号或新闻媒体公布其违约行为；</w:t>
      </w:r>
    </w:p>
    <w:p w14:paraId="712F130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leftChars="0" w:right="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 xml:space="preserve">4.向政府相关管理部门通报其违约行为； </w:t>
      </w:r>
    </w:p>
    <w:p w14:paraId="15183999">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leftChars="0" w:right="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5.解除已签订的公约，在三年内不接受其签约的承诺等。</w:t>
      </w:r>
    </w:p>
    <w:p w14:paraId="6ED9CBEA">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b/>
          <w:bCs w:val="0"/>
          <w:kern w:val="0"/>
          <w:sz w:val="32"/>
          <w:szCs w:val="32"/>
          <w:lang w:val="en-US" w:eastAsia="zh-CN" w:bidi="ar"/>
        </w:rPr>
        <w:t>第二十条</w:t>
      </w:r>
      <w:r>
        <w:rPr>
          <w:rFonts w:hint="eastAsia" w:ascii="仿宋_GB2312" w:hAnsi="仿宋_GB2312" w:eastAsia="仿宋_GB2312" w:cs="仿宋_GB2312"/>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对违约行为的惩戒方式，由招标代理分会纪律委员会审议决定。</w:t>
      </w:r>
    </w:p>
    <w:p w14:paraId="20592511">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第二十一条</w:t>
      </w:r>
      <w:r>
        <w:rPr>
          <w:rFonts w:hint="eastAsia" w:ascii="仿宋_GB2312" w:hAnsi="仿宋_GB2312" w:eastAsia="仿宋_GB2312" w:cs="仿宋_GB2312"/>
          <w:b w:val="0"/>
          <w:bCs/>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对于招标代理分会纪律委员会作出的决定，签约单位可在接到《惩戒告知书》之日起十日内以书面形式向纪律委员会提出申诉，逾期将视为放弃其申诉权利。</w:t>
      </w:r>
    </w:p>
    <w:p w14:paraId="026AF0F1">
      <w:pPr>
        <w:pStyle w:val="7"/>
        <w:keepNext w:val="0"/>
        <w:keepLines w:val="0"/>
        <w:pageBreakBefore w:val="0"/>
        <w:widowControl w:val="0"/>
        <w:suppressLineNumbers w:val="0"/>
        <w:kinsoku/>
        <w:wordWrap/>
        <w:overflowPunct/>
        <w:topLinePunct w:val="0"/>
        <w:bidi w:val="0"/>
        <w:snapToGrid/>
        <w:spacing w:before="0" w:beforeAutospacing="0" w:after="0" w:afterAutospacing="0" w:line="560" w:lineRule="exact"/>
        <w:ind w:left="0" w:leftChars="0" w:right="0"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 xml:space="preserve"> </w:t>
      </w:r>
    </w:p>
    <w:p w14:paraId="54EF4DF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right="0"/>
        <w:jc w:val="center"/>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b/>
          <w:bCs/>
          <w:kern w:val="0"/>
          <w:sz w:val="32"/>
          <w:szCs w:val="32"/>
          <w:lang w:val="en-US" w:eastAsia="zh-CN" w:bidi="ar"/>
        </w:rPr>
        <w:t>第四章  附 则</w:t>
      </w:r>
    </w:p>
    <w:p w14:paraId="4F6B689B">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b/>
          <w:bCs w:val="0"/>
          <w:kern w:val="0"/>
          <w:sz w:val="32"/>
          <w:szCs w:val="32"/>
          <w:lang w:val="en-US" w:eastAsia="zh-CN" w:bidi="ar"/>
        </w:rPr>
        <w:t>第二十二条</w:t>
      </w:r>
      <w:r>
        <w:rPr>
          <w:rFonts w:hint="eastAsia" w:ascii="仿宋_GB2312" w:hAnsi="仿宋_GB2312" w:eastAsia="仿宋_GB2312" w:cs="仿宋_GB2312"/>
          <w:b w:val="0"/>
          <w:bCs/>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纪律委员会是招标代理分会理事会下设的非常设机构，纪律委员会的工作规则另行公布。</w:t>
      </w:r>
      <w:r>
        <w:rPr>
          <w:rFonts w:hint="eastAsia" w:ascii="仿宋_GB2312" w:hAnsi="仿宋_GB2312" w:eastAsia="仿宋_GB2312" w:cs="仿宋_GB2312"/>
          <w:kern w:val="0"/>
          <w:sz w:val="32"/>
          <w:szCs w:val="32"/>
          <w:lang w:val="en-US" w:eastAsia="zh-CN" w:bidi="ar"/>
        </w:rPr>
        <w:t xml:space="preserve"> </w:t>
      </w:r>
    </w:p>
    <w:p w14:paraId="6C078C97">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第二十三条</w:t>
      </w:r>
      <w:r>
        <w:rPr>
          <w:rFonts w:hint="eastAsia" w:ascii="仿宋_GB2312" w:hAnsi="仿宋_GB2312" w:eastAsia="仿宋_GB2312" w:cs="仿宋_GB2312"/>
          <w:b w:val="0"/>
          <w:bCs/>
          <w:kern w:val="0"/>
          <w:sz w:val="32"/>
          <w:szCs w:val="32"/>
          <w:lang w:val="en-US" w:eastAsia="zh-CN" w:bidi="ar"/>
        </w:rPr>
        <w:t xml:space="preserve">  </w:t>
      </w:r>
      <w:r>
        <w:rPr>
          <w:rFonts w:hint="eastAsia" w:ascii="仿宋_GB2312" w:hAnsi="仿宋_GB2312" w:eastAsia="仿宋_GB2312" w:cs="仿宋_GB2312"/>
          <w:kern w:val="0"/>
          <w:sz w:val="32"/>
          <w:szCs w:val="32"/>
          <w:lang w:val="en-US" w:eastAsia="zh-CN" w:bidi="ar"/>
        </w:rPr>
        <w:t xml:space="preserve">签约书一式两份，签约单位和公约管理机构各持一份，自双方签字盖章之日起两年内有效。签约单位必须保证每年按时足额缴纳公约管理机构会费，否则签约书视为无效。  </w:t>
      </w:r>
    </w:p>
    <w:p w14:paraId="4D66AE16">
      <w:pPr>
        <w:keepNext w:val="0"/>
        <w:keepLines w:val="0"/>
        <w:pageBreakBefore w:val="0"/>
        <w:widowControl w:val="0"/>
        <w:suppressLineNumbers w:val="0"/>
        <w:kinsoku/>
        <w:wordWrap/>
        <w:overflowPunct/>
        <w:topLinePunct w:val="0"/>
        <w:autoSpaceDE w:val="0"/>
        <w:autoSpaceDN/>
        <w:bidi w:val="0"/>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b/>
          <w:bCs w:val="0"/>
          <w:kern w:val="0"/>
          <w:sz w:val="32"/>
          <w:szCs w:val="32"/>
          <w:lang w:val="en-US" w:eastAsia="zh-CN" w:bidi="ar"/>
        </w:rPr>
        <w:t>第二十四条</w:t>
      </w:r>
      <w:r>
        <w:rPr>
          <w:rFonts w:hint="eastAsia" w:ascii="仿宋_GB2312" w:hAnsi="仿宋_GB2312" w:eastAsia="仿宋_GB2312" w:cs="仿宋_GB2312"/>
          <w:b w:val="0"/>
          <w:bCs/>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本公约由佛山市南海区建筑业协会招标代理分会负责解释。</w:t>
      </w:r>
    </w:p>
    <w:p w14:paraId="14C87CC1">
      <w:pPr>
        <w:ind w:firstLine="643" w:firstLineChars="200"/>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b/>
          <w:bCs w:val="0"/>
          <w:kern w:val="0"/>
          <w:sz w:val="32"/>
          <w:szCs w:val="32"/>
          <w:lang w:val="en-US" w:eastAsia="zh-CN" w:bidi="ar"/>
        </w:rPr>
        <w:t>第二十五条</w:t>
      </w:r>
      <w:r>
        <w:rPr>
          <w:rFonts w:hint="eastAsia" w:ascii="仿宋_GB2312" w:hAnsi="仿宋_GB2312" w:eastAsia="仿宋_GB2312" w:cs="仿宋_GB2312"/>
          <w:b w:val="0"/>
          <w:bCs/>
          <w:kern w:val="0"/>
          <w:sz w:val="32"/>
          <w:szCs w:val="32"/>
          <w:lang w:val="en-US" w:eastAsia="zh-CN" w:bidi="ar"/>
        </w:rPr>
        <w:t xml:space="preserve">  </w:t>
      </w:r>
      <w:r>
        <w:rPr>
          <w:rFonts w:hint="eastAsia" w:ascii="仿宋_GB2312" w:hAnsi="仿宋_GB2312" w:eastAsia="仿宋_GB2312" w:cs="仿宋_GB2312"/>
          <w:kern w:val="2"/>
          <w:sz w:val="32"/>
          <w:szCs w:val="32"/>
          <w:lang w:val="en-US" w:eastAsia="zh-CN" w:bidi="ar"/>
        </w:rPr>
        <w:t>本公约自发布之日起生效。</w:t>
      </w:r>
    </w:p>
    <w:p w14:paraId="76D64F39">
      <w:pPr>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br w:type="page"/>
      </w:r>
    </w:p>
    <w:p w14:paraId="092D45D0">
      <w:pPr>
        <w:keepNext w:val="0"/>
        <w:keepLines w:val="0"/>
        <w:pageBreakBefore w:val="0"/>
        <w:widowControl w:val="0"/>
        <w:kinsoku/>
        <w:wordWrap/>
        <w:overflowPunct/>
        <w:topLinePunct w:val="0"/>
        <w:autoSpaceDE w:val="0"/>
        <w:autoSpaceDN w:val="0"/>
        <w:bidi w:val="0"/>
        <w:adjustRightInd w:val="0"/>
        <w:snapToGrid/>
        <w:spacing w:line="600" w:lineRule="exact"/>
        <w:jc w:val="center"/>
        <w:textAlignment w:val="auto"/>
        <w:rPr>
          <w:rFonts w:hint="eastAsia" w:asciiTheme="majorEastAsia" w:hAnsiTheme="majorEastAsia" w:eastAsiaTheme="majorEastAsia" w:cstheme="majorEastAsia"/>
          <w:b w:val="0"/>
          <w:bCs/>
          <w:kern w:val="0"/>
          <w:sz w:val="72"/>
          <w:szCs w:val="72"/>
        </w:rPr>
      </w:pPr>
      <w:r>
        <w:rPr>
          <w:rFonts w:hint="eastAsia" w:ascii="方正小标宋简体" w:hAnsi="方正小标宋简体" w:eastAsia="方正小标宋简体" w:cs="方正小标宋简体"/>
          <w:b w:val="0"/>
          <w:bCs/>
          <w:kern w:val="0"/>
          <w:sz w:val="44"/>
          <w:szCs w:val="44"/>
        </w:rPr>
        <w:t>签  约  书</w:t>
      </w:r>
    </w:p>
    <w:p w14:paraId="2EFB4E11">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宋体" w:hAnsi="宋体" w:cs="仿宋_GB2312"/>
          <w:b/>
          <w:kern w:val="0"/>
          <w:sz w:val="24"/>
          <w:szCs w:val="24"/>
        </w:rPr>
      </w:pPr>
    </w:p>
    <w:p w14:paraId="57A73CC3">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宋体" w:eastAsia="仿宋_GB2312" w:cs="仿宋_GB2312"/>
          <w:color w:val="auto"/>
          <w:kern w:val="0"/>
          <w:sz w:val="32"/>
          <w:szCs w:val="32"/>
        </w:rPr>
      </w:pPr>
      <w:r>
        <w:rPr>
          <w:rFonts w:hint="eastAsia" w:ascii="仿宋_GB2312" w:hAnsi="宋体" w:eastAsia="仿宋_GB2312" w:cs="仿宋_GB2312"/>
          <w:color w:val="auto"/>
          <w:kern w:val="0"/>
          <w:sz w:val="32"/>
          <w:szCs w:val="32"/>
        </w:rPr>
        <w:t>经认真阅读《</w:t>
      </w:r>
      <w:r>
        <w:rPr>
          <w:rFonts w:hint="eastAsia" w:ascii="仿宋_GB2312" w:hAnsi="宋体" w:eastAsia="仿宋_GB2312" w:cs="仿宋_GB2312"/>
          <w:color w:val="auto"/>
          <w:kern w:val="0"/>
          <w:sz w:val="32"/>
          <w:szCs w:val="32"/>
          <w:lang w:val="en-US" w:eastAsia="zh-CN"/>
        </w:rPr>
        <w:t>佛山市南海区建筑业协会招标代理行业自律公约</w:t>
      </w:r>
      <w:r>
        <w:rPr>
          <w:rFonts w:hint="eastAsia" w:ascii="仿宋_GB2312" w:hAnsi="宋体" w:eastAsia="仿宋_GB2312" w:cs="仿宋_GB2312"/>
          <w:color w:val="auto"/>
          <w:kern w:val="0"/>
          <w:sz w:val="32"/>
          <w:szCs w:val="32"/>
        </w:rPr>
        <w:t>》全文，我</w:t>
      </w:r>
      <w:r>
        <w:rPr>
          <w:rFonts w:hint="eastAsia" w:ascii="仿宋_GB2312" w:hAnsi="宋体" w:eastAsia="仿宋_GB2312" w:cs="仿宋_GB2312"/>
          <w:color w:val="auto"/>
          <w:kern w:val="0"/>
          <w:sz w:val="32"/>
          <w:szCs w:val="32"/>
          <w:lang w:val="en-US" w:eastAsia="zh-CN"/>
        </w:rPr>
        <w:t>单位</w:t>
      </w:r>
      <w:r>
        <w:rPr>
          <w:rFonts w:hint="eastAsia" w:ascii="仿宋_GB2312" w:hAnsi="宋体" w:eastAsia="仿宋_GB2312" w:cs="仿宋_GB2312"/>
          <w:color w:val="auto"/>
          <w:kern w:val="0"/>
          <w:sz w:val="32"/>
          <w:szCs w:val="32"/>
        </w:rPr>
        <w:t>已全面理解该公约的要求和含义，</w:t>
      </w:r>
      <w:r>
        <w:rPr>
          <w:rFonts w:hint="eastAsia" w:ascii="仿宋_GB2312" w:hAnsi="宋体" w:eastAsia="仿宋_GB2312" w:cs="仿宋_GB2312"/>
          <w:color w:val="auto"/>
          <w:kern w:val="0"/>
          <w:sz w:val="32"/>
          <w:szCs w:val="32"/>
          <w:lang w:val="en-US" w:eastAsia="zh-CN"/>
        </w:rPr>
        <w:t>并</w:t>
      </w:r>
      <w:r>
        <w:rPr>
          <w:rFonts w:hint="eastAsia" w:ascii="仿宋_GB2312" w:hAnsi="宋体" w:eastAsia="仿宋_GB2312" w:cs="仿宋_GB2312"/>
          <w:color w:val="auto"/>
          <w:kern w:val="0"/>
          <w:sz w:val="32"/>
          <w:szCs w:val="32"/>
        </w:rPr>
        <w:t>同意签约。</w:t>
      </w:r>
    </w:p>
    <w:p w14:paraId="41770D57">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宋体" w:eastAsia="仿宋_GB2312" w:cs="仿宋_GB2312"/>
          <w:color w:val="auto"/>
          <w:kern w:val="0"/>
          <w:sz w:val="32"/>
          <w:szCs w:val="32"/>
        </w:rPr>
      </w:pPr>
      <w:r>
        <w:rPr>
          <w:rFonts w:hint="eastAsia" w:ascii="仿宋_GB2312" w:hAnsi="宋体" w:eastAsia="仿宋_GB2312" w:cs="仿宋_GB2312"/>
          <w:color w:val="auto"/>
          <w:kern w:val="0"/>
          <w:sz w:val="32"/>
          <w:szCs w:val="32"/>
        </w:rPr>
        <w:t>为</w:t>
      </w:r>
      <w:r>
        <w:rPr>
          <w:rFonts w:hint="eastAsia" w:ascii="仿宋_GB2312" w:hAnsi="宋体" w:eastAsia="仿宋_GB2312" w:cs="仿宋_GB2312"/>
          <w:color w:val="auto"/>
          <w:kern w:val="0"/>
          <w:sz w:val="32"/>
          <w:szCs w:val="32"/>
          <w:lang w:val="en-US" w:eastAsia="zh-CN"/>
        </w:rPr>
        <w:t>进一步</w:t>
      </w:r>
      <w:r>
        <w:rPr>
          <w:rFonts w:hint="eastAsia" w:ascii="仿宋_GB2312" w:hAnsi="宋体" w:eastAsia="仿宋_GB2312" w:cs="仿宋_GB2312"/>
          <w:color w:val="auto"/>
          <w:kern w:val="0"/>
          <w:sz w:val="32"/>
          <w:szCs w:val="32"/>
        </w:rPr>
        <w:t>推进</w:t>
      </w:r>
      <w:r>
        <w:rPr>
          <w:rFonts w:hint="eastAsia" w:ascii="仿宋_GB2312" w:hAnsi="仿宋_GB2312" w:eastAsia="仿宋_GB2312" w:cs="仿宋_GB2312"/>
          <w:kern w:val="2"/>
          <w:sz w:val="32"/>
          <w:szCs w:val="32"/>
          <w:lang w:val="en-US" w:eastAsia="zh-CN" w:bidi="ar"/>
        </w:rPr>
        <w:t>我区建设工程招标投标行业的</w:t>
      </w:r>
      <w:r>
        <w:rPr>
          <w:rFonts w:hint="eastAsia" w:ascii="仿宋_GB2312" w:hAnsi="宋体" w:eastAsia="仿宋_GB2312" w:cs="仿宋_GB2312"/>
          <w:color w:val="auto"/>
          <w:kern w:val="0"/>
          <w:sz w:val="32"/>
          <w:szCs w:val="32"/>
        </w:rPr>
        <w:t>诚信体系建设，共同维护</w:t>
      </w:r>
      <w:r>
        <w:rPr>
          <w:rFonts w:hint="eastAsia" w:ascii="仿宋_GB2312" w:hAnsi="宋体" w:eastAsia="仿宋_GB2312" w:cs="仿宋_GB2312"/>
          <w:color w:val="auto"/>
          <w:kern w:val="0"/>
          <w:sz w:val="32"/>
          <w:szCs w:val="32"/>
          <w:lang w:val="en-US" w:eastAsia="zh-CN"/>
        </w:rPr>
        <w:t>南海区</w:t>
      </w:r>
      <w:r>
        <w:rPr>
          <w:rFonts w:hint="eastAsia" w:ascii="仿宋_GB2312" w:hAnsi="仿宋_GB2312" w:eastAsia="仿宋_GB2312" w:cs="仿宋_GB2312"/>
          <w:kern w:val="2"/>
          <w:sz w:val="32"/>
          <w:szCs w:val="32"/>
          <w:lang w:val="en-US" w:eastAsia="zh-CN" w:bidi="ar"/>
        </w:rPr>
        <w:t>建设工程招标投标</w:t>
      </w:r>
      <w:r>
        <w:rPr>
          <w:rFonts w:hint="eastAsia" w:ascii="仿宋_GB2312" w:hAnsi="宋体" w:eastAsia="仿宋_GB2312" w:cs="仿宋_GB2312"/>
          <w:color w:val="auto"/>
          <w:kern w:val="0"/>
          <w:sz w:val="32"/>
          <w:szCs w:val="32"/>
        </w:rPr>
        <w:t>市场的有序竞争和健康发展，作为《</w:t>
      </w:r>
      <w:r>
        <w:rPr>
          <w:rFonts w:hint="eastAsia" w:ascii="仿宋_GB2312" w:hAnsi="宋体" w:eastAsia="仿宋_GB2312" w:cs="仿宋_GB2312"/>
          <w:color w:val="auto"/>
          <w:kern w:val="0"/>
          <w:sz w:val="32"/>
          <w:szCs w:val="32"/>
          <w:lang w:val="en-US" w:eastAsia="zh-CN"/>
        </w:rPr>
        <w:t>佛山市南海区建筑业协会招标代理行业自律公约</w:t>
      </w:r>
      <w:r>
        <w:rPr>
          <w:rFonts w:hint="eastAsia" w:ascii="仿宋_GB2312" w:hAnsi="宋体" w:eastAsia="仿宋_GB2312" w:cs="仿宋_GB2312"/>
          <w:color w:val="auto"/>
          <w:kern w:val="0"/>
          <w:sz w:val="32"/>
          <w:szCs w:val="32"/>
        </w:rPr>
        <w:t>》的签约单位，</w:t>
      </w:r>
      <w:r>
        <w:rPr>
          <w:rFonts w:hint="eastAsia" w:ascii="仿宋_GB2312" w:hAnsi="宋体" w:eastAsia="仿宋_GB2312" w:cs="仿宋_GB2312"/>
          <w:color w:val="auto"/>
          <w:kern w:val="0"/>
          <w:sz w:val="32"/>
          <w:szCs w:val="32"/>
          <w:lang w:val="en-US" w:eastAsia="zh-CN"/>
        </w:rPr>
        <w:t>我单位现</w:t>
      </w:r>
      <w:r>
        <w:rPr>
          <w:rFonts w:hint="eastAsia" w:ascii="仿宋_GB2312" w:hAnsi="宋体" w:eastAsia="仿宋_GB2312" w:cs="仿宋_GB2312"/>
          <w:color w:val="auto"/>
          <w:kern w:val="0"/>
          <w:sz w:val="32"/>
          <w:szCs w:val="32"/>
        </w:rPr>
        <w:t>郑重承诺：完全接受</w:t>
      </w:r>
      <w:r>
        <w:rPr>
          <w:rFonts w:hint="eastAsia" w:ascii="仿宋_GB2312" w:hAnsi="宋体" w:eastAsia="仿宋_GB2312" w:cs="仿宋_GB2312"/>
          <w:color w:val="auto"/>
          <w:kern w:val="0"/>
          <w:sz w:val="32"/>
          <w:szCs w:val="32"/>
          <w:lang w:val="en-US" w:eastAsia="zh-CN"/>
        </w:rPr>
        <w:t>该公约</w:t>
      </w:r>
      <w:r>
        <w:rPr>
          <w:rFonts w:hint="eastAsia" w:ascii="仿宋_GB2312" w:hAnsi="宋体" w:eastAsia="仿宋_GB2312" w:cs="仿宋_GB2312"/>
          <w:color w:val="auto"/>
          <w:kern w:val="0"/>
          <w:sz w:val="32"/>
          <w:szCs w:val="32"/>
        </w:rPr>
        <w:t>的约束</w:t>
      </w:r>
      <w:r>
        <w:rPr>
          <w:rFonts w:hint="eastAsia" w:ascii="仿宋_GB2312" w:hAnsi="宋体" w:eastAsia="仿宋_GB2312" w:cs="仿宋_GB2312"/>
          <w:color w:val="auto"/>
          <w:kern w:val="0"/>
          <w:sz w:val="32"/>
          <w:szCs w:val="32"/>
          <w:lang w:eastAsia="zh-CN"/>
        </w:rPr>
        <w:t>，自愿配合纪律委员会调查</w:t>
      </w:r>
      <w:r>
        <w:rPr>
          <w:rFonts w:hint="eastAsia" w:ascii="仿宋_GB2312" w:hAnsi="宋体" w:eastAsia="仿宋_GB2312" w:cs="仿宋_GB2312"/>
          <w:color w:val="auto"/>
          <w:kern w:val="0"/>
          <w:sz w:val="32"/>
          <w:szCs w:val="32"/>
        </w:rPr>
        <w:t>；如有违约行为，愿意接受</w:t>
      </w:r>
      <w:r>
        <w:rPr>
          <w:rFonts w:hint="eastAsia" w:ascii="仿宋_GB2312" w:hAnsi="宋体" w:eastAsia="仿宋_GB2312" w:cs="仿宋_GB2312"/>
          <w:color w:val="auto"/>
          <w:kern w:val="0"/>
          <w:sz w:val="32"/>
          <w:szCs w:val="32"/>
          <w:lang w:val="en-US" w:eastAsia="zh-CN"/>
        </w:rPr>
        <w:t>该公约</w:t>
      </w:r>
      <w:r>
        <w:rPr>
          <w:rFonts w:hint="eastAsia" w:ascii="仿宋_GB2312" w:hAnsi="宋体" w:eastAsia="仿宋_GB2312" w:cs="仿宋_GB2312"/>
          <w:color w:val="auto"/>
          <w:kern w:val="0"/>
          <w:sz w:val="32"/>
          <w:szCs w:val="32"/>
        </w:rPr>
        <w:t>相关条文所规定的惩戒</w:t>
      </w:r>
      <w:r>
        <w:rPr>
          <w:rFonts w:hint="eastAsia" w:ascii="仿宋_GB2312" w:hAnsi="宋体" w:eastAsia="仿宋_GB2312" w:cs="仿宋_GB2312"/>
          <w:color w:val="auto"/>
          <w:kern w:val="0"/>
          <w:sz w:val="32"/>
          <w:szCs w:val="32"/>
          <w:lang w:eastAsia="zh-CN"/>
        </w:rPr>
        <w:t>，并承担违约行为</w:t>
      </w:r>
      <w:r>
        <w:rPr>
          <w:rFonts w:hint="eastAsia" w:ascii="仿宋_GB2312" w:hAnsi="宋体" w:eastAsia="仿宋_GB2312" w:cs="仿宋_GB2312"/>
          <w:color w:val="auto"/>
          <w:kern w:val="0"/>
          <w:sz w:val="32"/>
          <w:szCs w:val="32"/>
          <w:lang w:val="en-US" w:eastAsia="zh-CN"/>
        </w:rPr>
        <w:t>引发</w:t>
      </w:r>
      <w:r>
        <w:rPr>
          <w:rFonts w:hint="eastAsia" w:ascii="仿宋_GB2312" w:hAnsi="宋体" w:eastAsia="仿宋_GB2312" w:cs="仿宋_GB2312"/>
          <w:color w:val="auto"/>
          <w:kern w:val="0"/>
          <w:sz w:val="32"/>
          <w:szCs w:val="32"/>
          <w:lang w:eastAsia="zh-CN"/>
        </w:rPr>
        <w:t>的一切法律与行业责任</w:t>
      </w:r>
      <w:r>
        <w:rPr>
          <w:rFonts w:hint="eastAsia" w:ascii="仿宋_GB2312" w:hAnsi="宋体" w:eastAsia="仿宋_GB2312" w:cs="仿宋_GB2312"/>
          <w:color w:val="auto"/>
          <w:kern w:val="0"/>
          <w:sz w:val="32"/>
          <w:szCs w:val="32"/>
        </w:rPr>
        <w:t>。</w:t>
      </w:r>
    </w:p>
    <w:p w14:paraId="2E1E14C6">
      <w:pPr>
        <w:pStyle w:val="2"/>
        <w:keepNext w:val="0"/>
        <w:keepLines w:val="0"/>
        <w:pageBreakBefore w:val="0"/>
        <w:widowControl w:val="0"/>
        <w:kinsoku/>
        <w:wordWrap/>
        <w:overflowPunct/>
        <w:topLinePunct w:val="0"/>
        <w:bidi w:val="0"/>
        <w:snapToGrid/>
        <w:spacing w:line="560" w:lineRule="exact"/>
        <w:ind w:firstLine="640" w:firstLineChars="200"/>
        <w:textAlignment w:val="auto"/>
        <w:rPr>
          <w:rFonts w:hint="eastAsia"/>
          <w:lang w:eastAsia="zh-CN"/>
        </w:rPr>
      </w:pPr>
      <w:r>
        <w:rPr>
          <w:rFonts w:hint="eastAsia" w:ascii="仿宋_GB2312" w:hAnsi="仿宋_GB2312" w:eastAsia="仿宋_GB2312" w:cs="仿宋_GB2312"/>
          <w:kern w:val="0"/>
          <w:sz w:val="32"/>
          <w:szCs w:val="32"/>
          <w:lang w:val="en-US" w:eastAsia="zh-CN" w:bidi="ar"/>
        </w:rPr>
        <w:t>签约书一式两份，签约单位和公约管理机构各持一份，自双方签字盖章之日起两年内有效。签约单位必须保证每年按时足额缴纳公约管理机构会费，否则签约书视为无效</w:t>
      </w:r>
      <w:r>
        <w:rPr>
          <w:rFonts w:hint="default" w:ascii="仿宋_GB2312" w:hAnsi="宋体" w:eastAsia="仿宋_GB2312" w:cs="仿宋_GB2312"/>
          <w:color w:val="auto"/>
          <w:kern w:val="0"/>
          <w:sz w:val="32"/>
          <w:szCs w:val="32"/>
          <w:lang w:val="en-US" w:eastAsia="zh-CN" w:bidi="ar-SA"/>
        </w:rPr>
        <w:t>‌</w:t>
      </w:r>
      <w:r>
        <w:rPr>
          <w:rFonts w:hint="eastAsia" w:ascii="仿宋_GB2312" w:hAnsi="宋体" w:eastAsia="仿宋_GB2312" w:cs="仿宋_GB2312"/>
          <w:color w:val="auto"/>
          <w:kern w:val="0"/>
          <w:sz w:val="32"/>
          <w:szCs w:val="32"/>
          <w:lang w:val="en-US" w:eastAsia="zh-CN" w:bidi="ar-SA"/>
        </w:rPr>
        <w:t>。</w:t>
      </w:r>
    </w:p>
    <w:p w14:paraId="7321115C">
      <w:pPr>
        <w:keepNext w:val="0"/>
        <w:keepLines w:val="0"/>
        <w:pageBreakBefore w:val="0"/>
        <w:widowControl w:val="0"/>
        <w:kinsoku/>
        <w:wordWrap/>
        <w:overflowPunct/>
        <w:topLinePunct w:val="0"/>
        <w:bidi w:val="0"/>
        <w:snapToGrid/>
        <w:spacing w:line="560" w:lineRule="exact"/>
        <w:textAlignment w:val="auto"/>
        <w:rPr>
          <w:rFonts w:hint="eastAsia"/>
          <w:sz w:val="32"/>
          <w:szCs w:val="32"/>
        </w:rPr>
      </w:pPr>
    </w:p>
    <w:p w14:paraId="44959C33">
      <w:pPr>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宋体" w:eastAsia="仿宋_GB2312" w:cs="仿宋_GB2312"/>
          <w:color w:val="auto"/>
          <w:kern w:val="0"/>
          <w:sz w:val="32"/>
          <w:szCs w:val="32"/>
          <w:lang w:eastAsia="zh-CN"/>
        </w:rPr>
      </w:pPr>
      <w:r>
        <w:rPr>
          <w:rFonts w:hint="eastAsia" w:ascii="仿宋_GB2312" w:hAnsi="宋体" w:eastAsia="仿宋_GB2312" w:cs="仿宋_GB2312"/>
          <w:color w:val="auto"/>
          <w:kern w:val="0"/>
          <w:sz w:val="32"/>
          <w:szCs w:val="32"/>
        </w:rPr>
        <w:t>签约单位法定代表人</w:t>
      </w:r>
      <w:r>
        <w:rPr>
          <w:rFonts w:hint="eastAsia" w:ascii="仿宋_GB2312" w:hAnsi="宋体" w:eastAsia="仿宋_GB2312" w:cs="仿宋_GB2312"/>
          <w:color w:val="auto"/>
          <w:kern w:val="0"/>
          <w:sz w:val="32"/>
          <w:szCs w:val="32"/>
          <w:lang w:eastAsia="zh-CN"/>
        </w:rPr>
        <w:t>：（</w:t>
      </w:r>
      <w:r>
        <w:rPr>
          <w:rFonts w:hint="eastAsia" w:ascii="仿宋_GB2312" w:hAnsi="宋体" w:eastAsia="仿宋_GB2312" w:cs="仿宋_GB2312"/>
          <w:color w:val="auto"/>
          <w:kern w:val="0"/>
          <w:sz w:val="32"/>
          <w:szCs w:val="32"/>
        </w:rPr>
        <w:t>签名</w:t>
      </w:r>
      <w:r>
        <w:rPr>
          <w:rFonts w:hint="eastAsia" w:ascii="仿宋_GB2312" w:hAnsi="宋体" w:eastAsia="仿宋_GB2312" w:cs="仿宋_GB2312"/>
          <w:color w:val="auto"/>
          <w:kern w:val="0"/>
          <w:sz w:val="32"/>
          <w:szCs w:val="32"/>
          <w:lang w:eastAsia="zh-CN"/>
        </w:rPr>
        <w:t>）</w:t>
      </w:r>
    </w:p>
    <w:p w14:paraId="28D49CE1">
      <w:pPr>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宋体" w:eastAsia="仿宋_GB2312" w:cs="仿宋_GB2312"/>
          <w:color w:val="auto"/>
          <w:kern w:val="0"/>
          <w:sz w:val="32"/>
          <w:szCs w:val="32"/>
          <w:lang w:eastAsia="zh-CN"/>
        </w:rPr>
      </w:pPr>
    </w:p>
    <w:p w14:paraId="440C0AA4">
      <w:pPr>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宋体" w:eastAsia="仿宋_GB2312" w:cs="仿宋_GB2312"/>
          <w:color w:val="auto"/>
          <w:kern w:val="0"/>
          <w:sz w:val="32"/>
          <w:szCs w:val="32"/>
        </w:rPr>
      </w:pPr>
      <w:r>
        <w:rPr>
          <w:rFonts w:hint="eastAsia" w:ascii="仿宋_GB2312" w:hAnsi="宋体" w:eastAsia="仿宋_GB2312" w:cs="仿宋_GB2312"/>
          <w:color w:val="auto"/>
          <w:kern w:val="0"/>
          <w:sz w:val="32"/>
          <w:szCs w:val="32"/>
        </w:rPr>
        <w:t>签约单位名称</w:t>
      </w:r>
      <w:r>
        <w:rPr>
          <w:rFonts w:hint="eastAsia" w:ascii="仿宋_GB2312" w:hAnsi="宋体" w:eastAsia="仿宋_GB2312" w:cs="仿宋_GB2312"/>
          <w:color w:val="auto"/>
          <w:kern w:val="0"/>
          <w:sz w:val="32"/>
          <w:szCs w:val="32"/>
          <w:lang w:eastAsia="zh-CN"/>
        </w:rPr>
        <w:t>：</w:t>
      </w:r>
      <w:r>
        <w:rPr>
          <w:rFonts w:hint="eastAsia" w:ascii="仿宋_GB2312" w:hAnsi="宋体" w:eastAsia="仿宋_GB2312" w:cs="仿宋_GB2312"/>
          <w:color w:val="auto"/>
          <w:kern w:val="0"/>
          <w:sz w:val="32"/>
          <w:szCs w:val="32"/>
        </w:rPr>
        <w:t>（</w:t>
      </w:r>
      <w:r>
        <w:rPr>
          <w:rFonts w:hint="eastAsia" w:ascii="仿宋_GB2312" w:hAnsi="宋体" w:eastAsia="仿宋_GB2312" w:cs="仿宋_GB2312"/>
          <w:color w:val="auto"/>
          <w:kern w:val="0"/>
          <w:sz w:val="32"/>
          <w:szCs w:val="32"/>
          <w:lang w:val="en-US" w:eastAsia="zh-CN"/>
        </w:rPr>
        <w:t>盖章</w:t>
      </w:r>
      <w:r>
        <w:rPr>
          <w:rFonts w:hint="eastAsia" w:ascii="仿宋_GB2312" w:hAnsi="宋体" w:eastAsia="仿宋_GB2312" w:cs="仿宋_GB2312"/>
          <w:color w:val="auto"/>
          <w:kern w:val="0"/>
          <w:sz w:val="32"/>
          <w:szCs w:val="32"/>
        </w:rPr>
        <w:t xml:space="preserve">）        </w:t>
      </w:r>
      <w:r>
        <w:rPr>
          <w:rFonts w:ascii="仿宋_GB2312" w:hAnsi="宋体" w:eastAsia="仿宋_GB2312" w:cs="仿宋_GB2312"/>
          <w:color w:val="auto"/>
          <w:kern w:val="0"/>
          <w:sz w:val="32"/>
          <w:szCs w:val="32"/>
        </w:rPr>
        <w:t xml:space="preserve"> </w:t>
      </w:r>
      <w:r>
        <w:rPr>
          <w:rFonts w:hint="eastAsia" w:ascii="仿宋_GB2312" w:hAnsi="宋体" w:eastAsia="仿宋_GB2312" w:cs="仿宋_GB2312"/>
          <w:color w:val="auto"/>
          <w:kern w:val="0"/>
          <w:sz w:val="32"/>
          <w:szCs w:val="32"/>
          <w:lang w:val="en-US" w:eastAsia="zh-CN"/>
        </w:rPr>
        <w:t xml:space="preserve">   </w:t>
      </w:r>
      <w:r>
        <w:rPr>
          <w:rFonts w:ascii="仿宋_GB2312" w:hAnsi="宋体" w:eastAsia="仿宋_GB2312" w:cs="仿宋_GB2312"/>
          <w:color w:val="auto"/>
          <w:kern w:val="0"/>
          <w:sz w:val="32"/>
          <w:szCs w:val="32"/>
        </w:rPr>
        <w:t xml:space="preserve"> </w:t>
      </w:r>
      <w:r>
        <w:rPr>
          <w:rFonts w:hint="eastAsia" w:ascii="仿宋_GB2312" w:hAnsi="宋体" w:eastAsia="仿宋_GB2312" w:cs="仿宋_GB2312"/>
          <w:color w:val="auto"/>
          <w:kern w:val="0"/>
          <w:sz w:val="32"/>
          <w:szCs w:val="32"/>
        </w:rPr>
        <w:t>公约管理机构</w:t>
      </w:r>
      <w:r>
        <w:rPr>
          <w:rFonts w:hint="eastAsia" w:ascii="仿宋_GB2312" w:hAnsi="宋体" w:eastAsia="仿宋_GB2312" w:cs="仿宋_GB2312"/>
          <w:color w:val="auto"/>
          <w:kern w:val="0"/>
          <w:sz w:val="32"/>
          <w:szCs w:val="32"/>
          <w:lang w:eastAsia="zh-CN"/>
        </w:rPr>
        <w:t>：</w:t>
      </w:r>
      <w:r>
        <w:rPr>
          <w:rFonts w:hint="eastAsia" w:ascii="仿宋_GB2312" w:hAnsi="宋体" w:eastAsia="仿宋_GB2312" w:cs="仿宋_GB2312"/>
          <w:color w:val="auto"/>
          <w:kern w:val="0"/>
          <w:sz w:val="32"/>
          <w:szCs w:val="32"/>
        </w:rPr>
        <w:t>（盖章）</w:t>
      </w:r>
    </w:p>
    <w:p w14:paraId="27FB75BB">
      <w:pPr>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宋体" w:eastAsia="仿宋_GB2312" w:cs="仿宋_GB2312"/>
          <w:color w:val="auto"/>
          <w:kern w:val="0"/>
          <w:sz w:val="32"/>
          <w:szCs w:val="32"/>
        </w:rPr>
      </w:pPr>
    </w:p>
    <w:p w14:paraId="40F1F4FA">
      <w:pPr>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宋体" w:eastAsia="仿宋_GB2312" w:cs="仿宋_GB2312"/>
          <w:color w:val="auto"/>
          <w:kern w:val="0"/>
          <w:sz w:val="32"/>
          <w:szCs w:val="32"/>
        </w:rPr>
      </w:pPr>
      <w:r>
        <w:rPr>
          <w:rFonts w:hint="eastAsia" w:ascii="仿宋_GB2312" w:hAnsi="宋体" w:eastAsia="仿宋_GB2312" w:cs="仿宋_GB2312"/>
          <w:color w:val="auto"/>
          <w:kern w:val="0"/>
          <w:sz w:val="32"/>
          <w:szCs w:val="32"/>
        </w:rPr>
        <w:t>签约单位代表</w:t>
      </w:r>
      <w:r>
        <w:rPr>
          <w:rFonts w:hint="eastAsia" w:ascii="仿宋_GB2312" w:hAnsi="宋体" w:eastAsia="仿宋_GB2312" w:cs="仿宋_GB2312"/>
          <w:color w:val="auto"/>
          <w:kern w:val="0"/>
          <w:sz w:val="32"/>
          <w:szCs w:val="32"/>
          <w:lang w:eastAsia="zh-CN"/>
        </w:rPr>
        <w:t>：（</w:t>
      </w:r>
      <w:r>
        <w:rPr>
          <w:rFonts w:hint="eastAsia" w:ascii="仿宋_GB2312" w:hAnsi="宋体" w:eastAsia="仿宋_GB2312" w:cs="仿宋_GB2312"/>
          <w:color w:val="auto"/>
          <w:kern w:val="0"/>
          <w:sz w:val="32"/>
          <w:szCs w:val="32"/>
        </w:rPr>
        <w:t>签名</w:t>
      </w:r>
      <w:r>
        <w:rPr>
          <w:rFonts w:hint="eastAsia" w:ascii="仿宋_GB2312" w:hAnsi="宋体" w:eastAsia="仿宋_GB2312" w:cs="仿宋_GB2312"/>
          <w:color w:val="auto"/>
          <w:kern w:val="0"/>
          <w:sz w:val="32"/>
          <w:szCs w:val="32"/>
          <w:lang w:eastAsia="zh-CN"/>
        </w:rPr>
        <w:t>）</w:t>
      </w:r>
      <w:r>
        <w:rPr>
          <w:rFonts w:hint="eastAsia" w:ascii="仿宋_GB2312" w:hAnsi="宋体" w:eastAsia="仿宋_GB2312" w:cs="仿宋_GB2312"/>
          <w:color w:val="auto"/>
          <w:kern w:val="0"/>
          <w:sz w:val="32"/>
          <w:szCs w:val="32"/>
        </w:rPr>
        <w:t xml:space="preserve">      </w:t>
      </w:r>
    </w:p>
    <w:p w14:paraId="120CF7BA">
      <w:pPr>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eastAsia" w:ascii="仿宋_GB2312" w:hAnsi="宋体" w:eastAsia="仿宋_GB2312" w:cs="仿宋_GB2312"/>
          <w:color w:val="auto"/>
          <w:kern w:val="0"/>
          <w:sz w:val="32"/>
          <w:szCs w:val="32"/>
        </w:rPr>
      </w:pPr>
      <w:r>
        <w:rPr>
          <w:rFonts w:hint="eastAsia" w:ascii="仿宋_GB2312" w:hAnsi="宋体" w:eastAsia="仿宋_GB2312" w:cs="仿宋_GB2312"/>
          <w:color w:val="auto"/>
          <w:kern w:val="0"/>
          <w:sz w:val="32"/>
          <w:szCs w:val="32"/>
        </w:rPr>
        <w:t xml:space="preserve">        </w:t>
      </w:r>
    </w:p>
    <w:p w14:paraId="5F27446C">
      <w:pPr>
        <w:keepNext w:val="0"/>
        <w:keepLines w:val="0"/>
        <w:pageBreakBefore w:val="0"/>
        <w:widowControl w:val="0"/>
        <w:kinsoku/>
        <w:wordWrap/>
        <w:overflowPunct/>
        <w:topLinePunct w:val="0"/>
        <w:bidi w:val="0"/>
        <w:snapToGrid/>
        <w:spacing w:line="560" w:lineRule="exact"/>
        <w:jc w:val="right"/>
        <w:textAlignment w:val="auto"/>
        <w:rPr>
          <w:rFonts w:hint="eastAsia" w:ascii="仿宋_GB2312" w:hAnsi="仿宋_GB2312" w:eastAsia="仿宋_GB2312" w:cs="仿宋_GB2312"/>
          <w:kern w:val="2"/>
          <w:sz w:val="32"/>
          <w:szCs w:val="32"/>
          <w:lang w:val="en-US" w:eastAsia="zh-CN" w:bidi="ar"/>
        </w:rPr>
      </w:pPr>
      <w:r>
        <w:rPr>
          <w:rFonts w:hint="eastAsia" w:ascii="仿宋_GB2312" w:hAnsi="宋体" w:eastAsia="仿宋_GB2312" w:cs="仿宋_GB2312"/>
          <w:color w:val="auto"/>
          <w:kern w:val="0"/>
          <w:sz w:val="32"/>
          <w:szCs w:val="32"/>
        </w:rPr>
        <w:t xml:space="preserve">     </w:t>
      </w:r>
      <w:r>
        <w:rPr>
          <w:rFonts w:hint="eastAsia" w:ascii="仿宋_GB2312" w:hAnsi="宋体" w:eastAsia="仿宋_GB2312" w:cs="仿宋_GB2312"/>
          <w:color w:val="auto"/>
          <w:kern w:val="0"/>
          <w:sz w:val="32"/>
          <w:szCs w:val="32"/>
          <w:lang w:val="en-US" w:eastAsia="zh-CN"/>
        </w:rPr>
        <w:t xml:space="preserve">  </w:t>
      </w:r>
      <w:r>
        <w:rPr>
          <w:rFonts w:hint="eastAsia" w:ascii="仿宋_GB2312" w:hAnsi="宋体" w:eastAsia="仿宋_GB2312" w:cs="仿宋_GB2312"/>
          <w:color w:val="auto"/>
          <w:kern w:val="0"/>
          <w:sz w:val="32"/>
          <w:szCs w:val="32"/>
        </w:rPr>
        <w:t xml:space="preserve">  年  月  日                     </w:t>
      </w:r>
      <w:r>
        <w:rPr>
          <w:rFonts w:hint="eastAsia" w:ascii="仿宋_GB2312" w:hAnsi="宋体" w:eastAsia="仿宋_GB2312" w:cs="仿宋_GB2312"/>
          <w:color w:val="auto"/>
          <w:kern w:val="0"/>
          <w:sz w:val="32"/>
          <w:szCs w:val="32"/>
          <w:lang w:val="en-US" w:eastAsia="zh-CN"/>
        </w:rPr>
        <w:t xml:space="preserve"> </w:t>
      </w:r>
      <w:r>
        <w:rPr>
          <w:rFonts w:hint="eastAsia" w:ascii="仿宋_GB2312" w:hAnsi="宋体" w:eastAsia="仿宋_GB2312" w:cs="仿宋_GB2312"/>
          <w:color w:val="auto"/>
          <w:kern w:val="0"/>
          <w:sz w:val="32"/>
          <w:szCs w:val="32"/>
        </w:rPr>
        <w:t>年  月  日</w:t>
      </w:r>
    </w:p>
    <w:sectPr>
      <w:footerReference r:id="rId3" w:type="default"/>
      <w:pgSz w:w="11906" w:h="16838"/>
      <w:pgMar w:top="2098" w:right="1474"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142DA">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050D71">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B050D71">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691574"/>
    <w:rsid w:val="121D4870"/>
    <w:rsid w:val="12F450A8"/>
    <w:rsid w:val="19691574"/>
    <w:rsid w:val="1B5B78F2"/>
    <w:rsid w:val="25A47FC7"/>
    <w:rsid w:val="2AA45E84"/>
    <w:rsid w:val="2F1E22A0"/>
    <w:rsid w:val="3BF53C73"/>
    <w:rsid w:val="3F410521"/>
    <w:rsid w:val="49485201"/>
    <w:rsid w:val="4F920DBB"/>
    <w:rsid w:val="4FA1472F"/>
    <w:rsid w:val="5B8A1716"/>
    <w:rsid w:val="660D15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9">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qFormat/>
    <w:uiPriority w:val="1"/>
    <w:rPr>
      <w:rFonts w:ascii="宋体" w:hAnsi="宋体" w:eastAsia="宋体" w:cs="宋体"/>
      <w:sz w:val="32"/>
      <w:szCs w:val="32"/>
      <w:lang w:val="zh-CN" w:eastAsia="zh-CN" w:bidi="zh-CN"/>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2"/>
    <w:basedOn w:val="1"/>
    <w:next w:val="1"/>
    <w:unhideWhenUsed/>
    <w:qFormat/>
    <w:uiPriority w:val="39"/>
    <w:pPr>
      <w:keepNext w:val="0"/>
      <w:keepLines w:val="0"/>
      <w:widowControl w:val="0"/>
      <w:suppressLineNumbers w:val="0"/>
      <w:spacing w:before="0" w:beforeAutospacing="0" w:after="0" w:afterAutospacing="0"/>
      <w:ind w:left="420" w:leftChars="200" w:right="0"/>
      <w:jc w:val="both"/>
    </w:pPr>
    <w:rPr>
      <w:rFonts w:hint="default" w:ascii="Calibri" w:hAnsi="Calibri" w:eastAsia="宋体" w:cs="Times New Roman"/>
      <w:kern w:val="2"/>
      <w:sz w:val="21"/>
      <w:szCs w:val="24"/>
      <w:lang w:val="en-US" w:eastAsia="zh-CN" w:bidi="ar"/>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10">
    <w:name w:val="公文正文"/>
    <w:basedOn w:val="1"/>
    <w:qFormat/>
    <w:uiPriority w:val="0"/>
    <w:pPr>
      <w:adjustRightInd w:val="0"/>
      <w:snapToGrid w:val="0"/>
      <w:spacing w:line="360" w:lineRule="auto"/>
      <w:ind w:firstLine="420" w:firstLineChars="200"/>
      <w:jc w:val="left"/>
    </w:pPr>
    <w:rPr>
      <w:rFonts w:eastAsia="仿宋_GB2312" w:asciiTheme="minorAscii" w:hAnsiTheme="minorAscii"/>
      <w:sz w:val="32"/>
    </w:rPr>
  </w:style>
  <w:style w:type="paragraph" w:customStyle="1" w:styleId="11">
    <w:name w:val="公文标题"/>
    <w:basedOn w:val="1"/>
    <w:qFormat/>
    <w:uiPriority w:val="0"/>
    <w:pPr>
      <w:adjustRightInd w:val="0"/>
      <w:snapToGrid w:val="0"/>
      <w:spacing w:line="360" w:lineRule="auto"/>
      <w:ind w:firstLine="0" w:firstLineChars="0"/>
      <w:jc w:val="center"/>
    </w:pPr>
    <w:rPr>
      <w:rFonts w:hint="default" w:eastAsia="方正小标宋简体" w:asciiTheme="minorAscii" w:hAnsiTheme="minorAscii"/>
      <w:b/>
      <w:sz w:val="36"/>
    </w:rPr>
  </w:style>
  <w:style w:type="paragraph" w:customStyle="1" w:styleId="12">
    <w:name w:val="常用公文标题"/>
    <w:basedOn w:val="1"/>
    <w:qFormat/>
    <w:uiPriority w:val="0"/>
    <w:pPr>
      <w:adjustRightInd w:val="0"/>
      <w:snapToGrid w:val="0"/>
      <w:spacing w:line="360" w:lineRule="auto"/>
      <w:ind w:firstLine="0" w:firstLineChars="0"/>
      <w:jc w:val="center"/>
    </w:pPr>
    <w:rPr>
      <w:rFonts w:eastAsia="方正小标宋简体" w:asciiTheme="minorAscii" w:hAnsiTheme="minorAscii"/>
      <w:b/>
      <w:sz w:val="36"/>
    </w:rPr>
  </w:style>
  <w:style w:type="paragraph" w:customStyle="1" w:styleId="13">
    <w:name w:val="常用公文正文"/>
    <w:basedOn w:val="1"/>
    <w:qFormat/>
    <w:uiPriority w:val="0"/>
    <w:pPr>
      <w:adjustRightInd w:val="0"/>
      <w:snapToGrid w:val="0"/>
      <w:spacing w:line="360" w:lineRule="auto"/>
      <w:ind w:firstLine="420" w:firstLineChars="200"/>
      <w:jc w:val="left"/>
    </w:pPr>
    <w:rPr>
      <w:rFonts w:eastAsia="仿宋_GB2312" w:asciiTheme="minorAscii" w:hAnsiTheme="minorAscii"/>
      <w:sz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2613</Words>
  <Characters>2633</Characters>
  <Lines>0</Lines>
  <Paragraphs>0</Paragraphs>
  <TotalTime>27</TotalTime>
  <ScaleCrop>false</ScaleCrop>
  <LinksUpToDate>false</LinksUpToDate>
  <CharactersWithSpaces>2835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2025-05-14T13:07:00Z</dcterms:created>
  <dc:creator>冰冰</dc:creator>
  <cp:lastModifiedBy>Susan</cp:lastModifiedBy>
  <dcterms:modified xsi:type="dcterms:W3CDTF">2025-08-12T09:10:19Z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4BD55343379F497AA0A8861B90F31584_13</vt:lpwstr>
  </property>
  <property fmtid="{D5CDD505-2E9C-101B-9397-08002B2CF9AE}" pid="4" name="KSOTemplateDocerSaveRecord">
    <vt:lpwstr>eyJoZGlkIjoiNWI0NTYxZjMyYzhkNWUyZmQ1YjA5NDcyOWNlNjA0NDgiLCJ1c2VySWQiOiI1NjMyNTA5OTAifQ==</vt:lpwstr>
  </property>
</Properties>
</file>